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5A" w:rsidRDefault="0038795A" w:rsidP="00B234A2">
      <w:pPr>
        <w:spacing w:after="0" w:line="240" w:lineRule="auto"/>
        <w:jc w:val="both"/>
        <w:rPr>
          <w:rFonts w:ascii="Arial" w:hAnsi="Arial" w:cs="Arial"/>
        </w:rPr>
      </w:pPr>
      <w:r>
        <w:rPr>
          <w:rFonts w:ascii="Arial" w:hAnsi="Arial" w:cs="Arial"/>
        </w:rPr>
        <w:t>Ostrów Wielkopolski, 30 listopada 2016 roku</w:t>
      </w:r>
      <w:bookmarkStart w:id="0" w:name="_GoBack"/>
      <w:bookmarkEnd w:id="0"/>
    </w:p>
    <w:p w:rsidR="0038795A" w:rsidRDefault="0038795A" w:rsidP="00B234A2">
      <w:pPr>
        <w:spacing w:after="0" w:line="240" w:lineRule="auto"/>
        <w:jc w:val="both"/>
        <w:rPr>
          <w:rFonts w:ascii="Arial" w:hAnsi="Arial" w:cs="Arial"/>
        </w:rPr>
      </w:pPr>
    </w:p>
    <w:p w:rsidR="003B7C02" w:rsidRPr="007139CA" w:rsidRDefault="003B7C02" w:rsidP="00B234A2">
      <w:pPr>
        <w:spacing w:after="0" w:line="240" w:lineRule="auto"/>
        <w:jc w:val="both"/>
        <w:rPr>
          <w:rFonts w:ascii="Arial" w:hAnsi="Arial" w:cs="Arial"/>
        </w:rPr>
      </w:pPr>
      <w:r w:rsidRPr="007139CA">
        <w:rPr>
          <w:rFonts w:ascii="Arial" w:hAnsi="Arial" w:cs="Arial"/>
        </w:rPr>
        <w:t>Szanowni Państwo,</w:t>
      </w:r>
    </w:p>
    <w:p w:rsidR="00EE4058" w:rsidRPr="007139CA" w:rsidRDefault="00EE4058" w:rsidP="00B234A2">
      <w:pPr>
        <w:spacing w:after="0" w:line="240" w:lineRule="auto"/>
        <w:jc w:val="both"/>
        <w:rPr>
          <w:rFonts w:ascii="Arial" w:hAnsi="Arial" w:cs="Arial"/>
        </w:rPr>
      </w:pPr>
    </w:p>
    <w:p w:rsidR="003B7C02" w:rsidRPr="007139CA" w:rsidRDefault="003B7C02" w:rsidP="00B234A2">
      <w:pPr>
        <w:spacing w:after="0" w:line="240" w:lineRule="auto"/>
        <w:jc w:val="both"/>
        <w:rPr>
          <w:rFonts w:ascii="Arial" w:hAnsi="Arial" w:cs="Arial"/>
        </w:rPr>
      </w:pPr>
      <w:r w:rsidRPr="007139CA">
        <w:rPr>
          <w:rFonts w:ascii="Arial" w:hAnsi="Arial" w:cs="Arial"/>
        </w:rPr>
        <w:t xml:space="preserve">Uprzejmie informujemy, że od dnia 1 stycznia 2017 roku wchodzi </w:t>
      </w:r>
      <w:r w:rsidR="00EE4058" w:rsidRPr="007139CA">
        <w:rPr>
          <w:rFonts w:ascii="Arial" w:hAnsi="Arial" w:cs="Arial"/>
        </w:rPr>
        <w:t xml:space="preserve">w życie </w:t>
      </w:r>
      <w:r w:rsidRPr="007139CA">
        <w:rPr>
          <w:rFonts w:ascii="Arial" w:hAnsi="Arial" w:cs="Arial"/>
        </w:rPr>
        <w:t>rozporządzenie Parlamentu Europejskiego i Rady (UE) nr 2015/2120 z dnia 25 listopada 2015 r. ustanawiające środki dotyczące dostępu do otwartego internetu oraz zmieniające dyrektywę 2002/22/</w:t>
      </w:r>
      <w:r w:rsidR="00A25F65">
        <w:rPr>
          <w:rFonts w:ascii="Arial" w:hAnsi="Arial" w:cs="Arial"/>
        </w:rPr>
        <w:t>WE</w:t>
      </w:r>
      <w:r w:rsidRPr="007139CA">
        <w:rPr>
          <w:rFonts w:ascii="Arial" w:hAnsi="Arial" w:cs="Arial"/>
        </w:rPr>
        <w:t xml:space="preserve"> w sprawie usługi powszechnej i związanych z sieciami i usługami łączności elektronicznej praw użytkowników, a także rozporządzenie (UE) nr 531/2012 w sprawie roamingu w publicznych sieciach łączności ruchomej wewnątrz </w:t>
      </w:r>
      <w:r w:rsidR="00854619">
        <w:rPr>
          <w:rFonts w:ascii="Arial" w:hAnsi="Arial" w:cs="Arial"/>
        </w:rPr>
        <w:t>U</w:t>
      </w:r>
      <w:r w:rsidRPr="007139CA">
        <w:rPr>
          <w:rFonts w:ascii="Arial" w:hAnsi="Arial" w:cs="Arial"/>
        </w:rPr>
        <w:t xml:space="preserve">nii. Ponadto dnia 10 stycznia 2017 roku wchodzi w życie ustawa z dnia 23 września 2016 roku o pozasądowym rozstrzyganiu sporów konsumenckich. Oba te akty rodzą konieczność dokonania zmian w treści </w:t>
      </w:r>
      <w:r w:rsidR="00EE4058" w:rsidRPr="007139CA">
        <w:rPr>
          <w:rFonts w:ascii="Arial" w:hAnsi="Arial" w:cs="Arial"/>
        </w:rPr>
        <w:t xml:space="preserve">łączącego nas </w:t>
      </w:r>
      <w:r w:rsidR="00910B91" w:rsidRPr="00910B91">
        <w:rPr>
          <w:rFonts w:ascii="Arial" w:hAnsi="Arial" w:cs="Arial"/>
        </w:rPr>
        <w:t>Regulamin</w:t>
      </w:r>
      <w:r w:rsidR="00910B91">
        <w:rPr>
          <w:rFonts w:ascii="Arial" w:hAnsi="Arial" w:cs="Arial"/>
        </w:rPr>
        <w:t>u</w:t>
      </w:r>
      <w:r w:rsidR="00910B91" w:rsidRPr="00910B91">
        <w:rPr>
          <w:rFonts w:ascii="Arial" w:hAnsi="Arial" w:cs="Arial"/>
        </w:rPr>
        <w:t xml:space="preserve"> świadczenia usług dostępu do Internetu oraz telefonii stacjonarnej</w:t>
      </w:r>
      <w:r w:rsidRPr="007139CA">
        <w:rPr>
          <w:rFonts w:ascii="Arial" w:hAnsi="Arial" w:cs="Arial"/>
        </w:rPr>
        <w:t>. Zmiany obejmują</w:t>
      </w:r>
      <w:r w:rsidR="001166E3" w:rsidRPr="007139CA">
        <w:rPr>
          <w:rFonts w:ascii="Arial" w:hAnsi="Arial" w:cs="Arial"/>
        </w:rPr>
        <w:t xml:space="preserve"> następujące przepisy regulaminu (szczegółowe miejsca zmian oznaczone zostały poprzez podkreślenie)</w:t>
      </w:r>
      <w:r w:rsidRPr="007139CA">
        <w:rPr>
          <w:rFonts w:ascii="Arial" w:hAnsi="Arial" w:cs="Arial"/>
        </w:rPr>
        <w:t>:</w:t>
      </w:r>
    </w:p>
    <w:p w:rsidR="00B9377E" w:rsidRPr="007139CA" w:rsidRDefault="00B9377E" w:rsidP="00B234A2">
      <w:pPr>
        <w:spacing w:after="0" w:line="240" w:lineRule="auto"/>
        <w:jc w:val="both"/>
        <w:rPr>
          <w:rFonts w:ascii="Arial" w:hAnsi="Arial" w:cs="Arial"/>
        </w:rPr>
      </w:pPr>
    </w:p>
    <w:p w:rsidR="003B7C02" w:rsidRPr="007139CA" w:rsidRDefault="00FB7CC6" w:rsidP="00B234A2">
      <w:pPr>
        <w:pStyle w:val="Akapitzlist"/>
        <w:numPr>
          <w:ilvl w:val="0"/>
          <w:numId w:val="3"/>
        </w:numPr>
        <w:spacing w:after="0" w:line="240" w:lineRule="auto"/>
        <w:ind w:left="426" w:hanging="426"/>
        <w:jc w:val="both"/>
        <w:rPr>
          <w:rFonts w:ascii="Arial" w:hAnsi="Arial" w:cs="Arial"/>
        </w:rPr>
      </w:pPr>
      <w:r>
        <w:rPr>
          <w:rFonts w:ascii="Arial" w:hAnsi="Arial" w:cs="Arial"/>
        </w:rPr>
        <w:t xml:space="preserve">nadanie </w:t>
      </w:r>
      <w:r w:rsidR="00C92719">
        <w:rPr>
          <w:rFonts w:ascii="Arial" w:hAnsi="Arial" w:cs="Arial"/>
        </w:rPr>
        <w:t>w § 2 definicji Awarii</w:t>
      </w:r>
      <w:r w:rsidR="003B7C02" w:rsidRPr="007139CA">
        <w:rPr>
          <w:rFonts w:ascii="Arial" w:hAnsi="Arial" w:cs="Arial"/>
        </w:rPr>
        <w:t xml:space="preserve"> brzmienia:</w:t>
      </w:r>
    </w:p>
    <w:p w:rsidR="00FB7CC6" w:rsidRDefault="00C92719" w:rsidP="00B234A2">
      <w:pPr>
        <w:pStyle w:val="Akapitzlist"/>
        <w:spacing w:after="0" w:line="240" w:lineRule="auto"/>
        <w:jc w:val="both"/>
        <w:rPr>
          <w:rFonts w:ascii="Arial" w:hAnsi="Arial" w:cs="Arial"/>
          <w:i/>
          <w:u w:val="single"/>
        </w:rPr>
      </w:pPr>
      <w:r w:rsidRPr="00C92719">
        <w:rPr>
          <w:rFonts w:ascii="Arial" w:hAnsi="Arial" w:cs="Arial"/>
          <w:i/>
        </w:rPr>
        <w:t xml:space="preserve">Awaria – </w:t>
      </w:r>
      <w:r w:rsidR="00AC7C62" w:rsidRPr="00AC7C62">
        <w:rPr>
          <w:rFonts w:ascii="Arial" w:hAnsi="Arial" w:cs="Arial"/>
          <w:i/>
        </w:rPr>
        <w:t xml:space="preserve">nieplanowana przez Operatora nieprawidłowość funkcjonowania Sieci tvk, Sprzętu lub innych urządzeń, skutkująca zaprzestaniem lub istotnym pogorszeniem jakości świadczonych przez Operatora Usług, w tym niedotrzymaniem parametrów jakości określonych w Umowie abonenckiej </w:t>
      </w:r>
      <w:r w:rsidR="00AC7C62" w:rsidRPr="00B234A2">
        <w:rPr>
          <w:rFonts w:ascii="Arial" w:hAnsi="Arial" w:cs="Arial"/>
          <w:i/>
          <w:u w:val="single"/>
        </w:rPr>
        <w:t>lub Regulaminie</w:t>
      </w:r>
      <w:r w:rsidR="00B234A2" w:rsidRPr="00B234A2">
        <w:rPr>
          <w:rFonts w:ascii="Arial" w:hAnsi="Arial" w:cs="Arial"/>
          <w:i/>
        </w:rPr>
        <w:t>;</w:t>
      </w:r>
    </w:p>
    <w:p w:rsidR="00FB7CC6" w:rsidRPr="00BE54F5" w:rsidRDefault="00FB7CC6" w:rsidP="00B234A2">
      <w:pPr>
        <w:spacing w:after="0" w:line="240" w:lineRule="auto"/>
        <w:jc w:val="both"/>
        <w:rPr>
          <w:rFonts w:ascii="Arial" w:hAnsi="Arial" w:cs="Arial"/>
        </w:rPr>
      </w:pPr>
    </w:p>
    <w:p w:rsidR="007139CA" w:rsidRPr="007139CA" w:rsidRDefault="00143200" w:rsidP="00B234A2">
      <w:pPr>
        <w:pStyle w:val="Akapitzlist"/>
        <w:numPr>
          <w:ilvl w:val="0"/>
          <w:numId w:val="3"/>
        </w:numPr>
        <w:spacing w:after="0" w:line="240" w:lineRule="auto"/>
        <w:ind w:left="426" w:hanging="426"/>
        <w:jc w:val="both"/>
        <w:rPr>
          <w:rFonts w:ascii="Arial" w:hAnsi="Arial" w:cs="Arial"/>
        </w:rPr>
      </w:pPr>
      <w:r>
        <w:rPr>
          <w:rFonts w:ascii="Arial" w:hAnsi="Arial" w:cs="Arial"/>
        </w:rPr>
        <w:t>nadanie w § 2</w:t>
      </w:r>
      <w:r w:rsidR="00F8675F">
        <w:rPr>
          <w:rFonts w:ascii="Arial" w:hAnsi="Arial" w:cs="Arial"/>
        </w:rPr>
        <w:t xml:space="preserve"> </w:t>
      </w:r>
      <w:r>
        <w:rPr>
          <w:rFonts w:ascii="Arial" w:hAnsi="Arial" w:cs="Arial"/>
        </w:rPr>
        <w:t xml:space="preserve">definicji Terminal </w:t>
      </w:r>
      <w:r w:rsidR="007139CA" w:rsidRPr="007139CA">
        <w:rPr>
          <w:rFonts w:ascii="Arial" w:hAnsi="Arial" w:cs="Arial"/>
        </w:rPr>
        <w:t>brzmienia:</w:t>
      </w:r>
    </w:p>
    <w:p w:rsidR="00F8675F" w:rsidRDefault="00143200" w:rsidP="00B234A2">
      <w:pPr>
        <w:pStyle w:val="Akapitzlist"/>
        <w:spacing w:after="0" w:line="240" w:lineRule="auto"/>
        <w:ind w:left="709"/>
        <w:jc w:val="both"/>
        <w:rPr>
          <w:rFonts w:ascii="Arial" w:hAnsi="Arial" w:cs="Arial"/>
          <w:i/>
          <w:u w:val="single"/>
        </w:rPr>
      </w:pPr>
      <w:r w:rsidRPr="00143200">
        <w:rPr>
          <w:rFonts w:ascii="Arial" w:hAnsi="Arial" w:cs="Arial"/>
          <w:i/>
        </w:rPr>
        <w:t xml:space="preserve">Terminal – </w:t>
      </w:r>
      <w:r w:rsidR="005437E3" w:rsidRPr="005437E3">
        <w:rPr>
          <w:rFonts w:ascii="Arial" w:hAnsi="Arial" w:cs="Arial"/>
          <w:i/>
        </w:rPr>
        <w:t>urządzenie Abonenta umożliwiające korzystanie z Usług, w szczególności telefon oraz komputer osobisty spełnia</w:t>
      </w:r>
      <w:r w:rsidR="005437E3">
        <w:rPr>
          <w:rFonts w:ascii="Arial" w:hAnsi="Arial" w:cs="Arial"/>
          <w:i/>
        </w:rPr>
        <w:t xml:space="preserve">jący wymagania opisane w </w:t>
      </w:r>
      <w:r>
        <w:rPr>
          <w:rFonts w:ascii="Arial" w:hAnsi="Arial" w:cs="Arial"/>
          <w:i/>
          <w:u w:val="single"/>
        </w:rPr>
        <w:t>§12 ust. 18</w:t>
      </w:r>
      <w:r w:rsidRPr="00143200">
        <w:rPr>
          <w:rFonts w:ascii="Arial" w:hAnsi="Arial" w:cs="Arial"/>
          <w:i/>
          <w:u w:val="single"/>
        </w:rPr>
        <w:t>;</w:t>
      </w:r>
    </w:p>
    <w:p w:rsidR="00143200" w:rsidRPr="007139CA" w:rsidRDefault="00143200" w:rsidP="00B234A2">
      <w:pPr>
        <w:pStyle w:val="Akapitzlist"/>
        <w:spacing w:after="0" w:line="240" w:lineRule="auto"/>
        <w:ind w:left="426"/>
        <w:jc w:val="both"/>
        <w:rPr>
          <w:rFonts w:ascii="Arial" w:hAnsi="Arial" w:cs="Arial"/>
        </w:rPr>
      </w:pPr>
    </w:p>
    <w:p w:rsidR="003B7C02" w:rsidRPr="007139CA" w:rsidRDefault="00143200" w:rsidP="00B234A2">
      <w:pPr>
        <w:pStyle w:val="Akapitzlist"/>
        <w:numPr>
          <w:ilvl w:val="0"/>
          <w:numId w:val="3"/>
        </w:numPr>
        <w:spacing w:after="0" w:line="240" w:lineRule="auto"/>
        <w:ind w:left="426" w:hanging="426"/>
        <w:jc w:val="both"/>
        <w:rPr>
          <w:rFonts w:ascii="Arial" w:hAnsi="Arial" w:cs="Arial"/>
        </w:rPr>
      </w:pPr>
      <w:r>
        <w:rPr>
          <w:rFonts w:ascii="Arial" w:hAnsi="Arial" w:cs="Arial"/>
        </w:rPr>
        <w:t>nadanie § 10 ust. 5 brzmienia:</w:t>
      </w:r>
    </w:p>
    <w:p w:rsidR="00143200" w:rsidRPr="00B234A2" w:rsidRDefault="00BE54F5" w:rsidP="00B234A2">
      <w:pPr>
        <w:pStyle w:val="Akapitzlist"/>
        <w:spacing w:after="0" w:line="240" w:lineRule="auto"/>
        <w:ind w:left="709"/>
        <w:jc w:val="both"/>
        <w:rPr>
          <w:rFonts w:ascii="Arial" w:hAnsi="Arial" w:cs="Arial"/>
          <w:i/>
        </w:rPr>
      </w:pPr>
      <w:r w:rsidRPr="00BE54F5">
        <w:rPr>
          <w:rFonts w:ascii="Arial" w:hAnsi="Arial" w:cs="Arial"/>
          <w:i/>
        </w:rPr>
        <w:t xml:space="preserve">Operator zobowiązuje się świadczyć Usługi z zachowaniem obowiązujących przepisów prawa, jak również obowiązujących norm technicznych. Operator oświadcza, iż ponad 90% przypadków niewykonania lub nienależytego wykonania Usług usuwanych jest w terminie 24 godzin od uzyskania o nich informacji a wskaźnik ilości reklamacji na 1000 Abonentów w ciągu jednego miesiąca nie przekracza 10. PROMAX oświadcza, że średni czas oczekiwania na przyłączenie do Sieci tvk wynosi 25 dni od dnia podpisania Umowy. Szczegółowe dane, dotyczące jakości Usług świadczonych przez Operatora dostępne </w:t>
      </w:r>
      <w:r w:rsidRPr="00B234A2">
        <w:rPr>
          <w:rFonts w:ascii="Arial" w:hAnsi="Arial" w:cs="Arial"/>
          <w:i/>
        </w:rPr>
        <w:t xml:space="preserve">są </w:t>
      </w:r>
      <w:r w:rsidRPr="00B234A2">
        <w:rPr>
          <w:rFonts w:ascii="Arial" w:hAnsi="Arial" w:cs="Arial"/>
          <w:i/>
          <w:u w:val="single"/>
        </w:rPr>
        <w:t>w Regulaminie</w:t>
      </w:r>
      <w:r w:rsidRPr="00B234A2">
        <w:rPr>
          <w:rFonts w:ascii="Arial" w:hAnsi="Arial" w:cs="Arial"/>
          <w:i/>
        </w:rPr>
        <w:t xml:space="preserve"> oraz w Biurze Obsługi Abonenta.</w:t>
      </w:r>
    </w:p>
    <w:p w:rsidR="00BE54F5" w:rsidRPr="00B234A2" w:rsidRDefault="00BE54F5" w:rsidP="00B234A2">
      <w:pPr>
        <w:pStyle w:val="Akapitzlist"/>
        <w:spacing w:after="0" w:line="240" w:lineRule="auto"/>
        <w:ind w:left="709"/>
        <w:jc w:val="both"/>
        <w:rPr>
          <w:rFonts w:ascii="Arial" w:hAnsi="Arial" w:cs="Arial"/>
        </w:rPr>
      </w:pPr>
    </w:p>
    <w:p w:rsidR="003B7C02" w:rsidRPr="00B234A2" w:rsidRDefault="0072293B" w:rsidP="00B234A2">
      <w:pPr>
        <w:pStyle w:val="Akapitzlist"/>
        <w:numPr>
          <w:ilvl w:val="0"/>
          <w:numId w:val="3"/>
        </w:numPr>
        <w:spacing w:after="0" w:line="240" w:lineRule="auto"/>
        <w:ind w:left="426" w:hanging="426"/>
        <w:jc w:val="both"/>
        <w:rPr>
          <w:rFonts w:ascii="Arial" w:hAnsi="Arial" w:cs="Arial"/>
        </w:rPr>
      </w:pPr>
      <w:r w:rsidRPr="00B234A2">
        <w:rPr>
          <w:rFonts w:ascii="Arial" w:hAnsi="Arial" w:cs="Arial"/>
        </w:rPr>
        <w:t>nadanie § 10 ust. 6 brzmienia:</w:t>
      </w:r>
    </w:p>
    <w:p w:rsidR="0072293B" w:rsidRPr="00B234A2" w:rsidRDefault="00B234A2" w:rsidP="00B234A2">
      <w:pPr>
        <w:pStyle w:val="Akapitzlist"/>
        <w:spacing w:after="0" w:line="240" w:lineRule="auto"/>
        <w:ind w:left="709" w:firstLine="2"/>
        <w:jc w:val="both"/>
        <w:rPr>
          <w:rFonts w:ascii="Arial" w:hAnsi="Arial" w:cs="Arial"/>
          <w:i/>
        </w:rPr>
      </w:pPr>
      <w:r w:rsidRPr="00B234A2">
        <w:rPr>
          <w:rFonts w:ascii="Arial" w:hAnsi="Arial" w:cs="Arial"/>
          <w:i/>
        </w:rPr>
        <w:t xml:space="preserve">Operator zapewnia osiągnięcie parametrów świadczonych Usług, wynikających z odpowiednich postanowień Umowy abonenckiej, Regulaminów oraz Cennika, </w:t>
      </w:r>
      <w:r w:rsidRPr="00B234A2">
        <w:rPr>
          <w:rFonts w:ascii="Arial" w:hAnsi="Arial" w:cs="Arial"/>
          <w:i/>
          <w:u w:val="single"/>
        </w:rPr>
        <w:t>z zastrzeżeniem §12 ust. 5 w przypadku usługi dostępu do Internetu</w:t>
      </w:r>
      <w:r w:rsidRPr="00B234A2">
        <w:rPr>
          <w:rFonts w:ascii="Arial" w:hAnsi="Arial" w:cs="Arial"/>
          <w:i/>
        </w:rPr>
        <w:t xml:space="preserve">, wyłącznie we własnej Sieci tv. </w:t>
      </w:r>
      <w:bookmarkStart w:id="1" w:name="OLE_LINK5"/>
      <w:bookmarkStart w:id="2" w:name="OLE_LINK6"/>
      <w:r w:rsidRPr="00B234A2">
        <w:rPr>
          <w:rFonts w:ascii="Arial" w:hAnsi="Arial" w:cs="Arial"/>
          <w:i/>
        </w:rPr>
        <w:t xml:space="preserve">Operator nie ponosi odpowiedzialności, jeżeli nieosiągnięcie parametrów świadczonych Usług wynika z ograniczeń Terminala, w tym w szczególności jeżeli nie spełnia on wymagań wskazanych w </w:t>
      </w:r>
      <w:r w:rsidRPr="00B234A2">
        <w:rPr>
          <w:rFonts w:ascii="Arial" w:hAnsi="Arial" w:cs="Arial"/>
          <w:i/>
          <w:u w:val="single"/>
        </w:rPr>
        <w:t>§12 ust. 18</w:t>
      </w:r>
      <w:r w:rsidRPr="00B234A2">
        <w:rPr>
          <w:rFonts w:ascii="Arial" w:hAnsi="Arial" w:cs="Arial"/>
          <w:i/>
        </w:rPr>
        <w:t>.</w:t>
      </w:r>
      <w:bookmarkEnd w:id="1"/>
      <w:bookmarkEnd w:id="2"/>
    </w:p>
    <w:p w:rsidR="00BE54F5" w:rsidRPr="00B234A2" w:rsidRDefault="00BE54F5" w:rsidP="00B234A2">
      <w:pPr>
        <w:pStyle w:val="Akapitzlist"/>
        <w:spacing w:after="0" w:line="240" w:lineRule="auto"/>
        <w:ind w:left="709" w:firstLine="2"/>
        <w:jc w:val="both"/>
        <w:rPr>
          <w:rFonts w:ascii="Arial" w:hAnsi="Arial" w:cs="Arial"/>
        </w:rPr>
      </w:pPr>
    </w:p>
    <w:p w:rsidR="00B9377E" w:rsidRPr="00B234A2" w:rsidRDefault="0072293B" w:rsidP="00B234A2">
      <w:pPr>
        <w:pStyle w:val="Akapitzlist"/>
        <w:numPr>
          <w:ilvl w:val="0"/>
          <w:numId w:val="3"/>
        </w:numPr>
        <w:spacing w:after="0" w:line="240" w:lineRule="auto"/>
        <w:ind w:left="426" w:hanging="426"/>
        <w:jc w:val="both"/>
        <w:rPr>
          <w:rFonts w:ascii="Arial" w:hAnsi="Arial" w:cs="Arial"/>
        </w:rPr>
      </w:pPr>
      <w:r w:rsidRPr="00B234A2">
        <w:rPr>
          <w:rFonts w:ascii="Arial" w:hAnsi="Arial" w:cs="Arial"/>
        </w:rPr>
        <w:t>nadanie</w:t>
      </w:r>
      <w:r w:rsidR="00286BB4" w:rsidRPr="00B234A2">
        <w:rPr>
          <w:rFonts w:ascii="Arial" w:hAnsi="Arial" w:cs="Arial"/>
        </w:rPr>
        <w:t xml:space="preserve"> § 10 </w:t>
      </w:r>
      <w:r w:rsidRPr="00B234A2">
        <w:rPr>
          <w:rFonts w:ascii="Arial" w:hAnsi="Arial" w:cs="Arial"/>
        </w:rPr>
        <w:t>ust. 1</w:t>
      </w:r>
      <w:r w:rsidR="00BE54F5" w:rsidRPr="00B234A2">
        <w:rPr>
          <w:rFonts w:ascii="Arial" w:hAnsi="Arial" w:cs="Arial"/>
        </w:rPr>
        <w:t>0</w:t>
      </w:r>
      <w:r w:rsidR="00B234A2" w:rsidRPr="00B234A2">
        <w:rPr>
          <w:rFonts w:ascii="Arial" w:hAnsi="Arial" w:cs="Arial"/>
        </w:rPr>
        <w:t>-11</w:t>
      </w:r>
      <w:r w:rsidRPr="00B234A2">
        <w:rPr>
          <w:rFonts w:ascii="Arial" w:hAnsi="Arial" w:cs="Arial"/>
        </w:rPr>
        <w:t xml:space="preserve"> brzmienia:</w:t>
      </w:r>
    </w:p>
    <w:p w:rsidR="00B234A2" w:rsidRPr="00B234A2" w:rsidRDefault="00B234A2" w:rsidP="00B234A2">
      <w:pPr>
        <w:tabs>
          <w:tab w:val="left" w:pos="284"/>
        </w:tabs>
        <w:spacing w:after="0" w:line="240" w:lineRule="auto"/>
        <w:ind w:left="709"/>
        <w:jc w:val="both"/>
        <w:rPr>
          <w:rFonts w:ascii="Arial" w:hAnsi="Arial" w:cs="Arial"/>
          <w:i/>
          <w:u w:val="single"/>
        </w:rPr>
      </w:pPr>
      <w:r w:rsidRPr="00B234A2">
        <w:rPr>
          <w:rFonts w:ascii="Arial" w:hAnsi="Arial" w:cs="Arial"/>
          <w:i/>
          <w:u w:val="single"/>
        </w:rPr>
        <w:t xml:space="preserve">10. Operator wprowadza następujące procedury w celu pomiaru ruchu w Sieci tvk: </w:t>
      </w:r>
    </w:p>
    <w:p w:rsidR="00B234A2" w:rsidRPr="00B234A2" w:rsidRDefault="00B234A2" w:rsidP="00B234A2">
      <w:pPr>
        <w:tabs>
          <w:tab w:val="left" w:pos="284"/>
        </w:tabs>
        <w:spacing w:after="0" w:line="240" w:lineRule="auto"/>
        <w:ind w:left="709"/>
        <w:jc w:val="both"/>
        <w:rPr>
          <w:rFonts w:ascii="Arial" w:hAnsi="Arial" w:cs="Arial"/>
          <w:i/>
          <w:u w:val="single"/>
        </w:rPr>
      </w:pPr>
      <w:r w:rsidRPr="00B234A2">
        <w:rPr>
          <w:rFonts w:ascii="Arial" w:hAnsi="Arial" w:cs="Arial"/>
          <w:i/>
          <w:u w:val="single"/>
        </w:rPr>
        <w:t xml:space="preserve">a) zautomatyzowana analiza obciążenia ruchem wybranych elementów Sieci w czasie rzeczywistym (w przypadku usługi dostępu do Internetu, także procedury zarządzania ruchem w Sieci wskazane w § 12 ust. 8), </w:t>
      </w:r>
    </w:p>
    <w:p w:rsidR="00B234A2" w:rsidRPr="00B234A2" w:rsidRDefault="00B234A2" w:rsidP="00B234A2">
      <w:pPr>
        <w:tabs>
          <w:tab w:val="left" w:pos="284"/>
        </w:tabs>
        <w:spacing w:after="0" w:line="240" w:lineRule="auto"/>
        <w:ind w:left="709"/>
        <w:jc w:val="both"/>
        <w:rPr>
          <w:rFonts w:ascii="Arial" w:hAnsi="Arial" w:cs="Arial"/>
          <w:i/>
          <w:u w:val="single"/>
        </w:rPr>
      </w:pPr>
      <w:r w:rsidRPr="00B234A2">
        <w:rPr>
          <w:rFonts w:ascii="Arial" w:hAnsi="Arial" w:cs="Arial"/>
          <w:i/>
          <w:u w:val="single"/>
        </w:rPr>
        <w:t xml:space="preserve">b) interwencja serwisu technicznego. </w:t>
      </w:r>
    </w:p>
    <w:p w:rsidR="00B234A2" w:rsidRPr="00B234A2" w:rsidRDefault="00B234A2" w:rsidP="00B234A2">
      <w:pPr>
        <w:tabs>
          <w:tab w:val="left" w:pos="284"/>
        </w:tabs>
        <w:spacing w:after="0" w:line="240" w:lineRule="auto"/>
        <w:ind w:left="709"/>
        <w:jc w:val="both"/>
        <w:rPr>
          <w:rFonts w:ascii="Arial" w:hAnsi="Arial" w:cs="Arial"/>
          <w:i/>
        </w:rPr>
      </w:pPr>
      <w:r w:rsidRPr="00B234A2">
        <w:rPr>
          <w:rFonts w:ascii="Arial" w:hAnsi="Arial" w:cs="Arial"/>
          <w:i/>
          <w:u w:val="single"/>
        </w:rPr>
        <w:t>11. Procedury opisane w ust. 10 nie wpływają negatywnie na bezpieczeństwo i integralność Sieci tvk lub jakość Usługi.</w:t>
      </w:r>
    </w:p>
    <w:p w:rsidR="00EE4058" w:rsidRPr="00B234A2" w:rsidRDefault="00EE4058" w:rsidP="00B234A2">
      <w:pPr>
        <w:spacing w:after="0" w:line="240" w:lineRule="auto"/>
        <w:jc w:val="both"/>
        <w:rPr>
          <w:rFonts w:ascii="Arial" w:hAnsi="Arial" w:cs="Arial"/>
        </w:rPr>
      </w:pPr>
    </w:p>
    <w:p w:rsidR="00B9377E" w:rsidRPr="00B234A2" w:rsidRDefault="00C518F3" w:rsidP="00B234A2">
      <w:pPr>
        <w:pStyle w:val="Akapitzlist"/>
        <w:numPr>
          <w:ilvl w:val="0"/>
          <w:numId w:val="3"/>
        </w:numPr>
        <w:spacing w:after="0" w:line="240" w:lineRule="auto"/>
        <w:ind w:left="426" w:hanging="426"/>
        <w:jc w:val="both"/>
        <w:rPr>
          <w:rFonts w:ascii="Arial" w:hAnsi="Arial" w:cs="Arial"/>
        </w:rPr>
      </w:pPr>
      <w:r w:rsidRPr="00B234A2">
        <w:rPr>
          <w:rFonts w:ascii="Arial" w:hAnsi="Arial" w:cs="Arial"/>
        </w:rPr>
        <w:t>nadanie §12 brzmienia:</w:t>
      </w:r>
    </w:p>
    <w:p w:rsidR="00BE54F5" w:rsidRPr="00BE54F5" w:rsidRDefault="00BE54F5" w:rsidP="00B234A2">
      <w:pPr>
        <w:spacing w:after="0" w:line="240" w:lineRule="auto"/>
        <w:ind w:firstLine="709"/>
        <w:jc w:val="both"/>
        <w:rPr>
          <w:rFonts w:ascii="Arial" w:hAnsi="Arial" w:cs="Arial"/>
          <w:i/>
        </w:rPr>
      </w:pPr>
      <w:r w:rsidRPr="00B234A2">
        <w:rPr>
          <w:rFonts w:ascii="Arial" w:hAnsi="Arial" w:cs="Arial"/>
          <w:i/>
        </w:rPr>
        <w:t>[Dostęp do Internetu</w:t>
      </w:r>
      <w:r w:rsidRPr="00BE54F5">
        <w:rPr>
          <w:rFonts w:ascii="Arial" w:hAnsi="Arial" w:cs="Arial"/>
          <w:i/>
        </w:rPr>
        <w:t>]</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lastRenderedPageBreak/>
        <w:t>1. Usługa dostępu do Internetu umożliwia Abonentowi uzyskanie dostępu do informacji i treści oraz ich rozpowszechnianie, a także korzystanie z wybranych aplikacji i usług oraz ich udostępnianie. Operator nie ogranicza możliwości połączenia z jakimikolwiek dostępnymi zakończeniami sieci Internet. Przepisy prawa oraz postanowienia Umowy (w tym Regulaminu oraz Cennika) mogą wprowadzać szczególne ograniczenia.</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xml:space="preserve">2. Dostęp realizowany jest w pakiecie taryfowym wybranym przez Abonenta, przy pomocy Terminala wybranego przez Abonenta i spełniającego warunki techniczne wynikające ze specyfiki Usługi dostępu do Internetu oraz wymagania określone przepisami. </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3. Operator nie limituje ilości przesyłanych danych. Wyższa prędkość przesyłania danych oraz niższe opóźnienia w ich przesyłaniu pozwalają na korzystanie z bardziej zaawansowanych usług. Zgodnie z dokumentami Komisji Europejskiej szybki dostęp do Internetu to nie mniej niż 30 Mb/s pobierania danych. Ultraszybki dostęp do Internetu to nie mniej niż 100 Mb/s pobierania danych. Dla poszczególnych zastosowań można określić następujące przykłady parametrów (dla każdego Terminala osobno):</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usługi telefoniczne VoIP - 64 kb/s pobierania oraz wysyłania, opóźnienie 150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przeglądanie stron www - 1 Mb/s pobierania, opóźnienie 200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oglądanie wideo w jakości SD - 2 Mb/s pobierania, opóźnienie 200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oglądanie wideo w jakości HD - 6 Mb/s pobierania, opóźnienie 200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oglądanie wideo w jakości 4K - 18 Mb/s pobierania, opóźnienie 200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rozmowy wideo HD – 1,5 Mb/s pobierania oraz wysyłania, opóźnienie 150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gry sieciowe czasu rzeczywistego - 2 Mb/s pobierania i 1,5 Mb/s wysyłania, opóźnienie 30 ms.</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Operator gwarantuje, że parametry Usługi obejmujące wahanie opóźnienia oraz utratę pakietów nie ograniczają możliwości korzystania z wyżej opisanych usług.</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4. Operator posługuje się następującymi oznaczeniami prędkości dostępu do Internetu:</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xml:space="preserve">- minimalna, którą Operator zobowiązuje się dostarczać Abonentowi w każdym momencie (z wyjątkiem przerw w świadczeniu Usług), równa 50% prędkości maksymalnej, </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zwykle dostępna, której Abonent może oczekiwać na poziomie 75% prędkości maksymalnej przez 80% doby,</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deklarowana, którą Operator posługuje się w działalności marketingowej, Cennikach oraz Umowie, równa prędkości maksymalnej,</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maksymalna, której Abonent może oczekiwać przynajmniej co pewien czas, wyznaczająca górną granicę prędkości osiągalnej w wybranym pakiecie taryfowym.</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Wartości liczone są w protokole warstwy transportowej w taki sposób, iż uwzględniają także ograniczenia wynikające z parametrów punktu styku Sieci tvk z zewnętrznymi punktami wymiany ruchu internetowego.</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5. Faktycznie dostępna dla Abonenta w danej chwili prędkość dostępu do Internetu uzależniona jest nie tylko od wybranego przez Abonenta pakietu taryfowego, ale i w szczególności od: stopnia obciążenia Sieci tvk w godzinach szczytu, przy nieplanowanym wzroście liczby aktywnych Abonentów lub niepożądanych działań zmierzających do generowania sztucznego ruchu, ograniczeń technicznych danego Terminala (w szczególności routera), korzystania z Usługi na kilku Terminalach jednocześnie, jednoczesnego uruchomienia kilku strumieni danych, instalacji na Terminalu aplikacji obniżających prędkość transmisji (antywirus, firewall), korzystania z dostępu radiowego przy niskim poziomie sygnału (znaczna odległość od Sprzętu).</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xml:space="preserve">6. Faktyczne ograniczenia zapewnianych parametrów dostępu do Internetu mogą negatywnie wpływać na możliwość korzystania z aplikacji, usług czy treści, w szczególności w przypadku, w którym parametry te spadną poniżej wartości wskazanych w ust. 3. </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xml:space="preserve">7. Operator traktuje wszystkie transmisje równo, bez dyskryminacji, ograniczania czy ingerencji. </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 xml:space="preserve">8. W celu utrzymania optymalnych warunków dostępu do Internetu Operator stosuje środki monitorowania ruchu oraz zarządzania ruchem, takie jak: kolejkowanie, </w:t>
      </w:r>
      <w:r w:rsidRPr="00BE54F5">
        <w:rPr>
          <w:rFonts w:ascii="Arial" w:hAnsi="Arial" w:cs="Arial"/>
          <w:i/>
          <w:u w:val="single"/>
        </w:rPr>
        <w:lastRenderedPageBreak/>
        <w:t>priorytetyzacja, rezerwacja, czasowa alokacja transmisji, przelewy ruchu i unikanie przeciążeń. Środki te są stosowane nie dłużej, niż jest to konieczne. Operator dopuszcza stosowanie środków zarządzania ruchem w oparciu o zdefiniowane kategorie ruchu wyłącznie w przypadku, w którym okaże się to nieuniknione z technicznego punktu widzenia. Środki zarządzania ruchem nie są dyktowane względami handlowymi.</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9. Środki zarządzania ruchem nie blokują, nie spowalniają, nie zmieniają, nie ograniczają, nie pogarszają jakości ani nie faworyzują określonych treści, aplikacji ani usług, z wyjątkiem przypadków, w których jest to konieczne (i jedynie tak długo, jak jest to konieczne), aby:</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a) zapewnić zgodność z przepisami prawa lub środkami służącymi ich wykonaniu,</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b) utrzymać integralność i bezpieczeństwo Sieci tvk, Usług oraz Sprzętu,</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c) zapobiec grożącym przeciążeniom Sieci tvk oraz złagodzić skutki wyjątkowego lub tymczasowego przeciążenia Sieci tvk, o ile równoważne rodzaje transferu danych są traktowane równo.</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Środki te mogą spowodować czasowe pogorszenie parametrów świadczonej Usługi, w szczególności wydłużenie opóźnienia a także ograniczenie prędkości transmisji danych lub jej czasowe wstrzymanie.</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10. Na zasadach określonych w przepisach prawa Operator może oferować usługi niebędące usługami dostępu do Internetu, które są zoptymalizowane dla określonych treści, aplikacji lub usług. Usługi te nie wpływają na ogólną dostępność lub jakość Usługi dostępu do Internetu.</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11. Znaczące i stałe lub regularnie powtarzające się rozbieżności pomiędzy faktycznym wykonaniem usługi dostępu do Internetu a wykonaniem opisanym w ust. 4, ustalone przy pomocy mechanizmu monitorowania certyfikowanego przez Prezesa UKE stanowią nienależyte wykonanie Umowy zawartej z Konsumentem.</w:t>
      </w:r>
    </w:p>
    <w:p w:rsidR="00BE54F5" w:rsidRPr="00BE54F5" w:rsidRDefault="00BE54F5" w:rsidP="00B234A2">
      <w:pPr>
        <w:spacing w:after="0" w:line="240" w:lineRule="auto"/>
        <w:ind w:left="709"/>
        <w:jc w:val="both"/>
        <w:rPr>
          <w:rFonts w:ascii="Arial" w:hAnsi="Arial" w:cs="Arial"/>
          <w:i/>
          <w:u w:val="single"/>
        </w:rPr>
      </w:pPr>
      <w:r w:rsidRPr="00BE54F5">
        <w:rPr>
          <w:rFonts w:ascii="Arial" w:hAnsi="Arial" w:cs="Arial"/>
          <w:i/>
          <w:u w:val="single"/>
        </w:rPr>
        <w:t>12. W przypadkach znaczących i stałych lub regularnie powtarzających się rozbieżności pomiędzy faktycznym wykonaniem usługi dostępu do Internetu a wykonaniem opisanym w ust. 4, Abonentowi przysługują środki opisane w § 16 oraz § 24.</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 xml:space="preserve">13. Operator nie ponosi odpowiedzialności za treść danych przesyłanych lub pobieranych przez Abonenta. </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14. Operator nie ponosi odpowiedzialności za zabezpieczenie Terminala oraz zawartych w nim danych przed dostępem osób trzecich. Operator nie ponosi odpowiedzialności za uzyskanie dostępu do poczty elektronicznej lub serwisu internetowego Abonenta przez osoby trzecie, chyba że uzyskanie tego dostępu było zawinione przez Operatora. Operator w szczególności nie ponosi odpowiedzialności za szkody powstałe w związku z utratą lub ujawnieniem przez Abonenta hasła dostępu do poczty elektronicznej lub serwisu internetowego.</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15. W przypadku brak odmiennych zapisów Umowy abonenckiej, Cennika lub Regulaminu promocji, zawarcie Umowy abonenckiej uprawnia do korzystania z każdej z Usług przy pomocy wyłącznie jednego Terminala.</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16. Operator uprawniony jest do usunięcia plików oraz wiadomości poczty elektronicznej, umieszczonych na serwerze Operatora w związku ze świadczeniem Usług poczty elektronicznej oraz hostingu serwisu internetowego, w dniu zaprzestania świadczenia Usług.</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17. Operator może zapewnić Abonentowi bez dodatkowych opłat lepsze parametry świadczonych Usług, w szczególności wyższą przepustowość usługi dostępu do Internetu w okresach testowych lub promocyjnych. Zapewnienie jak i wycofanie takich lepszych parametrów świadczonych Usług nie wymaga zmiany Umowy abonenckiej, zgody Abonenta, jak również jego wcześniejszego powiadomienia i nie uprawnia Abonenta do rozwiązania Umowy abonenckiej.</w:t>
      </w:r>
    </w:p>
    <w:p w:rsidR="00BE54F5" w:rsidRPr="00BE54F5" w:rsidRDefault="00BE54F5" w:rsidP="00B234A2">
      <w:pPr>
        <w:spacing w:after="0" w:line="240" w:lineRule="auto"/>
        <w:ind w:left="709"/>
        <w:jc w:val="both"/>
        <w:rPr>
          <w:rFonts w:ascii="Arial" w:hAnsi="Arial" w:cs="Arial"/>
          <w:i/>
        </w:rPr>
      </w:pPr>
      <w:r w:rsidRPr="00BE54F5">
        <w:rPr>
          <w:rFonts w:ascii="Arial" w:hAnsi="Arial" w:cs="Arial"/>
          <w:i/>
        </w:rPr>
        <w:t xml:space="preserve">18. Komputer osobisty, stanowiący Terminal, dla prawidłowego korzystania z Usługi dostępu do Internetu, powinien posiadać procesor klasy PIII 733 MHz i pamięć RAM </w:t>
      </w:r>
      <w:r w:rsidRPr="00BE54F5">
        <w:rPr>
          <w:rFonts w:ascii="Arial" w:hAnsi="Arial" w:cs="Arial"/>
          <w:i/>
        </w:rPr>
        <w:lastRenderedPageBreak/>
        <w:t>512 MB oraz kartę sieciową 100 Mbit/s. Operator w szczególności nie gwarantuje możliwości korzystania z Usługi dostępu do Internetu przy wykorzystaniu portu USB.</w:t>
      </w:r>
    </w:p>
    <w:p w:rsidR="00C518F3" w:rsidRDefault="00BE54F5" w:rsidP="00B234A2">
      <w:pPr>
        <w:spacing w:after="0" w:line="240" w:lineRule="auto"/>
        <w:ind w:left="709"/>
        <w:jc w:val="both"/>
        <w:rPr>
          <w:rFonts w:ascii="Arial" w:hAnsi="Arial" w:cs="Arial"/>
          <w:i/>
        </w:rPr>
      </w:pPr>
      <w:r w:rsidRPr="00BE54F5">
        <w:rPr>
          <w:rFonts w:ascii="Arial" w:hAnsi="Arial" w:cs="Arial"/>
          <w:i/>
        </w:rPr>
        <w:t>19. Usługi dodatkowe poczty elektronicznej oraz utrzymania serwisu internetowego dostępne są na zasadach opisanych w Regulaminie oraz serwisie internetowym Operatora. Regulamin stanowi jednocześnie regulamin w rozumieniu ustawy o świadczeniu usług drogą elektroniczną. Korzystanie z tych Usług dodatkowych następuje przy użyciu Komputera osobistego o parametrach nie gorszych niż opisane w ust. 18. Operator zapewnia sobie prawo usunięcia lub uniemożliwienia dostępu do danych przechowywanych w związku ze świadczeniem Usług dodatkowych, zgodnie z postanowieniami Ustawy o świadczeniu usług drogą elektroniczną. Niedopuszczalne jest dostarczanie przez Abonenta, przy wykorzystaniu Usług dodatkowych, treści o charakterze bezprawnym.</w:t>
      </w:r>
    </w:p>
    <w:p w:rsidR="00BE54F5" w:rsidRPr="00C518F3" w:rsidRDefault="00BE54F5" w:rsidP="00B234A2">
      <w:pPr>
        <w:spacing w:after="0" w:line="240" w:lineRule="auto"/>
        <w:ind w:left="709"/>
        <w:jc w:val="both"/>
        <w:rPr>
          <w:rFonts w:ascii="Arial" w:hAnsi="Arial" w:cs="Arial"/>
        </w:rPr>
      </w:pPr>
    </w:p>
    <w:p w:rsidR="00C518F3" w:rsidRDefault="00C518F3" w:rsidP="00B234A2">
      <w:pPr>
        <w:pStyle w:val="Akapitzlist"/>
        <w:numPr>
          <w:ilvl w:val="0"/>
          <w:numId w:val="3"/>
        </w:numPr>
        <w:spacing w:after="0" w:line="240" w:lineRule="auto"/>
        <w:ind w:left="426" w:hanging="426"/>
        <w:jc w:val="both"/>
        <w:rPr>
          <w:rFonts w:ascii="Arial" w:hAnsi="Arial" w:cs="Arial"/>
        </w:rPr>
      </w:pPr>
      <w:r>
        <w:rPr>
          <w:rFonts w:ascii="Arial" w:hAnsi="Arial" w:cs="Arial"/>
        </w:rPr>
        <w:t xml:space="preserve"> nadanie § 16 ust. 4 brzmienia:</w:t>
      </w:r>
    </w:p>
    <w:p w:rsidR="00164D7D" w:rsidRPr="00164D7D" w:rsidRDefault="00164D7D" w:rsidP="00B234A2">
      <w:pPr>
        <w:spacing w:after="0" w:line="240" w:lineRule="auto"/>
        <w:ind w:left="709"/>
        <w:jc w:val="both"/>
        <w:rPr>
          <w:rFonts w:ascii="Arial" w:hAnsi="Arial" w:cs="Arial"/>
          <w:i/>
        </w:rPr>
      </w:pPr>
      <w:r w:rsidRPr="00164D7D">
        <w:rPr>
          <w:rFonts w:ascii="Arial" w:hAnsi="Arial" w:cs="Arial"/>
          <w:i/>
        </w:rPr>
        <w:t>Reklamacja może być złożona w każdym Biurze Obsługi Abonenta. Reklamacja może być złożona:</w:t>
      </w:r>
    </w:p>
    <w:p w:rsidR="00164D7D" w:rsidRPr="00164D7D" w:rsidRDefault="00164D7D" w:rsidP="00B234A2">
      <w:pPr>
        <w:spacing w:after="0" w:line="240" w:lineRule="auto"/>
        <w:ind w:left="709"/>
        <w:jc w:val="both"/>
        <w:rPr>
          <w:rFonts w:ascii="Arial" w:hAnsi="Arial" w:cs="Arial"/>
          <w:i/>
        </w:rPr>
      </w:pPr>
      <w:r w:rsidRPr="00164D7D">
        <w:rPr>
          <w:rFonts w:ascii="Arial" w:hAnsi="Arial" w:cs="Arial"/>
          <w:i/>
        </w:rPr>
        <w:t>a.</w:t>
      </w:r>
      <w:r w:rsidRPr="00164D7D">
        <w:rPr>
          <w:rFonts w:ascii="Arial" w:hAnsi="Arial" w:cs="Arial"/>
          <w:i/>
        </w:rPr>
        <w:tab/>
        <w:t>w formie pisemnej - osobiście podczas wizyty reklamującego w Biurze Obsługi Abonenta albo przesyłką pocztową w rozumieniu art. 3 pkt 21 ustawy z dnia 23 listopada 2012 r. - Prawo pocztowe (Dz. U. poz. 1529),</w:t>
      </w:r>
    </w:p>
    <w:p w:rsidR="00164D7D" w:rsidRPr="00164D7D" w:rsidRDefault="00164D7D" w:rsidP="00B234A2">
      <w:pPr>
        <w:spacing w:after="0" w:line="240" w:lineRule="auto"/>
        <w:ind w:left="709"/>
        <w:jc w:val="both"/>
        <w:rPr>
          <w:rFonts w:ascii="Arial" w:hAnsi="Arial" w:cs="Arial"/>
          <w:i/>
        </w:rPr>
      </w:pPr>
      <w:r w:rsidRPr="00164D7D">
        <w:rPr>
          <w:rFonts w:ascii="Arial" w:hAnsi="Arial" w:cs="Arial"/>
          <w:i/>
        </w:rPr>
        <w:t>b.</w:t>
      </w:r>
      <w:r w:rsidRPr="00164D7D">
        <w:rPr>
          <w:rFonts w:ascii="Arial" w:hAnsi="Arial" w:cs="Arial"/>
          <w:i/>
        </w:rPr>
        <w:tab/>
        <w:t>ustnie - telefonicznie albo osobiście do protokołu podczas wizyty reklamującego w Biurze Obsługi Abonenta,</w:t>
      </w:r>
    </w:p>
    <w:p w:rsidR="00164D7D" w:rsidRPr="00164D7D" w:rsidRDefault="00164D7D" w:rsidP="00B234A2">
      <w:pPr>
        <w:spacing w:after="0" w:line="240" w:lineRule="auto"/>
        <w:ind w:left="709"/>
        <w:jc w:val="both"/>
        <w:rPr>
          <w:rFonts w:ascii="Arial" w:hAnsi="Arial" w:cs="Arial"/>
          <w:i/>
        </w:rPr>
      </w:pPr>
      <w:r w:rsidRPr="00164D7D">
        <w:rPr>
          <w:rFonts w:ascii="Arial" w:hAnsi="Arial" w:cs="Arial"/>
          <w:i/>
        </w:rPr>
        <w:t>c.</w:t>
      </w:r>
      <w:r w:rsidRPr="00164D7D">
        <w:rPr>
          <w:rFonts w:ascii="Arial" w:hAnsi="Arial" w:cs="Arial"/>
          <w:i/>
        </w:rPr>
        <w:tab/>
        <w:t xml:space="preserve">w formie elektronicznej z wykorzystaniem środków komunikacji elektronicznej poprzez e-mail reklamacje@promax.media.pl </w:t>
      </w:r>
    </w:p>
    <w:p w:rsidR="00C518F3" w:rsidRPr="00164D7D" w:rsidRDefault="00164D7D" w:rsidP="00B234A2">
      <w:pPr>
        <w:spacing w:after="0" w:line="240" w:lineRule="auto"/>
        <w:ind w:left="709"/>
        <w:jc w:val="both"/>
        <w:rPr>
          <w:rFonts w:ascii="Arial" w:hAnsi="Arial" w:cs="Arial"/>
          <w:i/>
          <w:u w:val="single"/>
        </w:rPr>
      </w:pPr>
      <w:r w:rsidRPr="00164D7D">
        <w:rPr>
          <w:rFonts w:ascii="Arial" w:hAnsi="Arial" w:cs="Arial"/>
          <w:i/>
          <w:u w:val="single"/>
        </w:rPr>
        <w:t>Wskazane środki komunikacji mogą być także wykorzystane w celu ustalenia stanu rozpoznania złożonej reklamacji.</w:t>
      </w:r>
    </w:p>
    <w:p w:rsidR="00164D7D" w:rsidRPr="00C518F3" w:rsidRDefault="00164D7D" w:rsidP="00B234A2">
      <w:pPr>
        <w:spacing w:after="0" w:line="240" w:lineRule="auto"/>
        <w:ind w:left="709"/>
        <w:jc w:val="both"/>
        <w:rPr>
          <w:rFonts w:ascii="Arial" w:hAnsi="Arial" w:cs="Arial"/>
        </w:rPr>
      </w:pPr>
    </w:p>
    <w:p w:rsidR="00C50D2F" w:rsidRDefault="00C50D2F" w:rsidP="00B234A2">
      <w:pPr>
        <w:pStyle w:val="Akapitzlist"/>
        <w:numPr>
          <w:ilvl w:val="0"/>
          <w:numId w:val="3"/>
        </w:numPr>
        <w:spacing w:after="0" w:line="240" w:lineRule="auto"/>
        <w:ind w:left="426" w:hanging="426"/>
        <w:jc w:val="both"/>
        <w:rPr>
          <w:rFonts w:ascii="Arial" w:hAnsi="Arial" w:cs="Arial"/>
        </w:rPr>
      </w:pPr>
      <w:r>
        <w:rPr>
          <w:rFonts w:ascii="Arial" w:hAnsi="Arial" w:cs="Arial"/>
        </w:rPr>
        <w:t xml:space="preserve">dodanie § 17 ust. 10 w brzmieniu: </w:t>
      </w:r>
    </w:p>
    <w:p w:rsidR="00C50D2F" w:rsidRDefault="00164D7D" w:rsidP="00B234A2">
      <w:pPr>
        <w:spacing w:after="0" w:line="240" w:lineRule="auto"/>
        <w:ind w:left="709"/>
        <w:jc w:val="both"/>
        <w:rPr>
          <w:rFonts w:ascii="Arial" w:hAnsi="Arial" w:cs="Arial"/>
          <w:i/>
          <w:u w:val="single"/>
        </w:rPr>
      </w:pPr>
      <w:r w:rsidRPr="00164D7D">
        <w:rPr>
          <w:rFonts w:ascii="Arial" w:hAnsi="Arial" w:cs="Arial"/>
          <w:i/>
          <w:u w:val="single"/>
        </w:rPr>
        <w:t>W przypadku gdy w następstwie złożonej reklamacji spór nie został rozwiązany, Operator przekazuje Konsumentowi na papierze lub innym trwałym nośniku oświadczenie o zamiarze, zgodzie albo odmowie udziału w postępowaniu w sprawie pozasądowego rozwiązywania sporów konsumenckich przed Prezesem UKE.</w:t>
      </w:r>
    </w:p>
    <w:p w:rsidR="00164D7D" w:rsidRPr="00C50D2F" w:rsidRDefault="00164D7D" w:rsidP="00B234A2">
      <w:pPr>
        <w:spacing w:after="0" w:line="240" w:lineRule="auto"/>
        <w:ind w:left="709"/>
        <w:jc w:val="both"/>
        <w:rPr>
          <w:rFonts w:ascii="Arial" w:hAnsi="Arial" w:cs="Arial"/>
        </w:rPr>
      </w:pPr>
    </w:p>
    <w:p w:rsidR="00C518F3" w:rsidRDefault="00C50D2F" w:rsidP="00B234A2">
      <w:pPr>
        <w:pStyle w:val="Akapitzlist"/>
        <w:numPr>
          <w:ilvl w:val="0"/>
          <w:numId w:val="3"/>
        </w:numPr>
        <w:spacing w:after="0" w:line="240" w:lineRule="auto"/>
        <w:ind w:left="426" w:hanging="426"/>
        <w:jc w:val="both"/>
        <w:rPr>
          <w:rFonts w:ascii="Arial" w:hAnsi="Arial" w:cs="Arial"/>
        </w:rPr>
      </w:pPr>
      <w:r>
        <w:rPr>
          <w:rFonts w:ascii="Arial" w:hAnsi="Arial" w:cs="Arial"/>
        </w:rPr>
        <w:t xml:space="preserve"> </w:t>
      </w:r>
      <w:r w:rsidR="00987713">
        <w:rPr>
          <w:rFonts w:ascii="Arial" w:hAnsi="Arial" w:cs="Arial"/>
        </w:rPr>
        <w:t>dodanie § 23 ust. 7</w:t>
      </w:r>
      <w:r w:rsidR="00B234A2">
        <w:rPr>
          <w:rFonts w:ascii="Arial" w:hAnsi="Arial" w:cs="Arial"/>
        </w:rPr>
        <w:t>-8</w:t>
      </w:r>
      <w:r w:rsidR="00987713">
        <w:rPr>
          <w:rFonts w:ascii="Arial" w:hAnsi="Arial" w:cs="Arial"/>
        </w:rPr>
        <w:t xml:space="preserve"> w brzmieniu:</w:t>
      </w:r>
    </w:p>
    <w:p w:rsidR="00B234A2" w:rsidRDefault="00B234A2" w:rsidP="00B234A2">
      <w:pPr>
        <w:spacing w:after="0" w:line="240" w:lineRule="auto"/>
        <w:ind w:left="709"/>
        <w:jc w:val="both"/>
        <w:rPr>
          <w:rFonts w:ascii="Arial" w:hAnsi="Arial" w:cs="Arial"/>
          <w:i/>
          <w:u w:val="single"/>
        </w:rPr>
      </w:pPr>
      <w:r>
        <w:rPr>
          <w:rFonts w:ascii="Arial" w:hAnsi="Arial" w:cs="Arial"/>
          <w:i/>
          <w:u w:val="single"/>
        </w:rPr>
        <w:t xml:space="preserve">7. </w:t>
      </w:r>
      <w:r w:rsidR="00987713" w:rsidRPr="00987713">
        <w:rPr>
          <w:rFonts w:ascii="Arial" w:hAnsi="Arial" w:cs="Arial"/>
          <w:i/>
          <w:u w:val="single"/>
        </w:rPr>
        <w:t>Środki zarządzania ruchem nie wiążą się z przetwarzaniem danych osobowych, o ile nie jest to niezbędne i proporcjonalne do osiągnięcia celów opisanych w § 12 ust. 9.</w:t>
      </w:r>
    </w:p>
    <w:p w:rsidR="00987713" w:rsidRPr="00987713" w:rsidRDefault="00B234A2" w:rsidP="00B234A2">
      <w:pPr>
        <w:spacing w:after="0" w:line="240" w:lineRule="auto"/>
        <w:ind w:left="709"/>
        <w:jc w:val="both"/>
        <w:rPr>
          <w:rFonts w:ascii="Arial" w:hAnsi="Arial" w:cs="Arial"/>
          <w:i/>
          <w:u w:val="single"/>
        </w:rPr>
      </w:pPr>
      <w:r>
        <w:rPr>
          <w:rFonts w:ascii="Arial" w:hAnsi="Arial" w:cs="Arial"/>
          <w:i/>
          <w:u w:val="single"/>
        </w:rPr>
        <w:t xml:space="preserve">8. </w:t>
      </w:r>
      <w:r w:rsidR="00987713" w:rsidRPr="00987713">
        <w:rPr>
          <w:rFonts w:ascii="Arial" w:hAnsi="Arial" w:cs="Arial"/>
          <w:i/>
          <w:u w:val="single"/>
        </w:rPr>
        <w:t>Środki zarządzania ruchem nie obejmują monitorowania konkretnych treści.</w:t>
      </w:r>
    </w:p>
    <w:p w:rsidR="00987713" w:rsidRPr="00987713" w:rsidRDefault="00987713" w:rsidP="00B234A2">
      <w:pPr>
        <w:spacing w:after="0" w:line="240" w:lineRule="auto"/>
        <w:jc w:val="both"/>
        <w:rPr>
          <w:rFonts w:ascii="Arial" w:hAnsi="Arial" w:cs="Arial"/>
        </w:rPr>
      </w:pPr>
    </w:p>
    <w:p w:rsidR="00987713" w:rsidRDefault="00987713" w:rsidP="00B234A2">
      <w:pPr>
        <w:pStyle w:val="Akapitzlist"/>
        <w:numPr>
          <w:ilvl w:val="0"/>
          <w:numId w:val="3"/>
        </w:numPr>
        <w:spacing w:after="0" w:line="240" w:lineRule="auto"/>
        <w:ind w:left="426" w:hanging="426"/>
        <w:jc w:val="both"/>
        <w:rPr>
          <w:rFonts w:ascii="Arial" w:hAnsi="Arial" w:cs="Arial"/>
        </w:rPr>
      </w:pPr>
      <w:r>
        <w:rPr>
          <w:rFonts w:ascii="Arial" w:hAnsi="Arial" w:cs="Arial"/>
        </w:rPr>
        <w:t>nadanie § 24 brzmienia:</w:t>
      </w:r>
    </w:p>
    <w:p w:rsidR="00987713" w:rsidRPr="00987713" w:rsidRDefault="00987713" w:rsidP="00B234A2">
      <w:pPr>
        <w:spacing w:after="0" w:line="240" w:lineRule="auto"/>
        <w:ind w:firstLine="709"/>
        <w:jc w:val="both"/>
        <w:rPr>
          <w:rFonts w:ascii="Arial" w:hAnsi="Arial" w:cs="Arial"/>
          <w:i/>
          <w:u w:val="single"/>
        </w:rPr>
      </w:pPr>
      <w:r w:rsidRPr="00987713">
        <w:rPr>
          <w:rFonts w:ascii="Arial" w:hAnsi="Arial" w:cs="Arial"/>
          <w:i/>
          <w:u w:val="single"/>
        </w:rPr>
        <w:t>§24 [Rozwiązywanie sporów]</w:t>
      </w:r>
    </w:p>
    <w:p w:rsidR="00987713" w:rsidRPr="00987713" w:rsidRDefault="00987713" w:rsidP="00B234A2">
      <w:pPr>
        <w:spacing w:after="0" w:line="240" w:lineRule="auto"/>
        <w:ind w:left="709"/>
        <w:jc w:val="both"/>
        <w:rPr>
          <w:rFonts w:ascii="Arial" w:hAnsi="Arial" w:cs="Arial"/>
          <w:i/>
          <w:u w:val="single"/>
        </w:rPr>
      </w:pPr>
      <w:r w:rsidRPr="00987713">
        <w:rPr>
          <w:rFonts w:ascii="Arial" w:hAnsi="Arial" w:cs="Arial"/>
          <w:i/>
          <w:u w:val="single"/>
        </w:rPr>
        <w:t xml:space="preserve">1. Po wyczerpaniu drogi postępowania reklamacyjnego Konsument uprawniony jest do złożenia do Prezesa UKE wniosku o polubowne rozstrzygnięcie sporu cywilnoprawnego, w drodze postępowania w sprawie pozasądowego rozwiązywania sporów konsumenckich. Prezes UKE może także wszcząć to postępowanie z urzędu, jeżeli wymaga tego ochrona interesu Konsumenta. Zasady postępowania określa ustawa o pozasądowym rozwiązywaniu sporów konsumenckich oraz wydane na jej podstawie akty wykonawcze. </w:t>
      </w:r>
    </w:p>
    <w:p w:rsidR="00987713" w:rsidRPr="00B234A2" w:rsidRDefault="00987713" w:rsidP="00B234A2">
      <w:pPr>
        <w:spacing w:after="0" w:line="240" w:lineRule="auto"/>
        <w:ind w:left="709"/>
        <w:jc w:val="both"/>
        <w:rPr>
          <w:rFonts w:ascii="Arial" w:hAnsi="Arial" w:cs="Arial"/>
          <w:i/>
        </w:rPr>
      </w:pPr>
      <w:r w:rsidRPr="00B234A2">
        <w:rPr>
          <w:rFonts w:ascii="Arial" w:hAnsi="Arial" w:cs="Arial"/>
          <w:i/>
        </w:rPr>
        <w:t>2. Spór o prawa majątkowe wynikający z tytułu świadczonych Usług może zostać także poddany pod rozstrzygnięcie Stałego Polubownego Sądu Konsumenckiego przy Prezesie Urzędu Komunikacji Elektronicznej.</w:t>
      </w:r>
    </w:p>
    <w:p w:rsidR="00987713" w:rsidRPr="00987713" w:rsidRDefault="00987713" w:rsidP="00B234A2">
      <w:pPr>
        <w:spacing w:after="0" w:line="240" w:lineRule="auto"/>
        <w:ind w:left="709"/>
        <w:jc w:val="both"/>
        <w:rPr>
          <w:rFonts w:ascii="Arial" w:hAnsi="Arial" w:cs="Arial"/>
          <w:i/>
          <w:u w:val="single"/>
        </w:rPr>
      </w:pPr>
      <w:r w:rsidRPr="00987713">
        <w:rPr>
          <w:rFonts w:ascii="Arial" w:hAnsi="Arial" w:cs="Arial"/>
          <w:i/>
          <w:u w:val="single"/>
        </w:rPr>
        <w:t>3. W przypadku naruszania przez Operatora warunków Umowy, Abonentowi przysługują także środki ochrony prawnej niewymienione w Regulaminie, określone w przepisach prawa, w szczególności Kodeksu cywilnego. Obejmują między innymi prawo żądania zapłaty odszkodowania lub kary umownej, prawo żądania wykonania umowy oraz prawo do odstąpienia od Umowy.</w:t>
      </w:r>
    </w:p>
    <w:p w:rsidR="00B03DD6" w:rsidRPr="007139CA" w:rsidRDefault="00B03DD6" w:rsidP="00B234A2">
      <w:pPr>
        <w:spacing w:after="0" w:line="240" w:lineRule="auto"/>
        <w:jc w:val="both"/>
        <w:rPr>
          <w:rFonts w:ascii="Arial" w:hAnsi="Arial" w:cs="Arial"/>
        </w:rPr>
      </w:pPr>
    </w:p>
    <w:p w:rsidR="00FB0D44" w:rsidRDefault="00FB0D44" w:rsidP="00B234A2">
      <w:pPr>
        <w:spacing w:after="0" w:line="240" w:lineRule="auto"/>
        <w:jc w:val="both"/>
        <w:rPr>
          <w:rFonts w:ascii="Arial" w:hAnsi="Arial" w:cs="Arial"/>
        </w:rPr>
      </w:pPr>
    </w:p>
    <w:p w:rsidR="00B03DD6" w:rsidRPr="007139CA" w:rsidRDefault="00B03DD6" w:rsidP="00B234A2">
      <w:pPr>
        <w:spacing w:after="0" w:line="240" w:lineRule="auto"/>
        <w:jc w:val="both"/>
        <w:rPr>
          <w:rFonts w:ascii="Arial" w:hAnsi="Arial" w:cs="Arial"/>
        </w:rPr>
      </w:pPr>
      <w:r w:rsidRPr="007139CA">
        <w:rPr>
          <w:rFonts w:ascii="Arial" w:hAnsi="Arial" w:cs="Arial"/>
        </w:rPr>
        <w:t xml:space="preserve">W braku akceptacji wskazanych zmian </w:t>
      </w:r>
      <w:r w:rsidR="00B35260" w:rsidRPr="007139CA">
        <w:rPr>
          <w:rFonts w:ascii="Arial" w:hAnsi="Arial" w:cs="Arial"/>
        </w:rPr>
        <w:t>przysługuje Państwu</w:t>
      </w:r>
      <w:r w:rsidRPr="007139CA">
        <w:rPr>
          <w:rFonts w:ascii="Arial" w:hAnsi="Arial" w:cs="Arial"/>
        </w:rPr>
        <w:t xml:space="preserve"> prawo wypowiedz</w:t>
      </w:r>
      <w:r w:rsidR="00987713">
        <w:rPr>
          <w:rFonts w:ascii="Arial" w:hAnsi="Arial" w:cs="Arial"/>
        </w:rPr>
        <w:t>enia łączącej nas Umowy abonenckiej</w:t>
      </w:r>
      <w:r w:rsidRPr="007139CA">
        <w:rPr>
          <w:rFonts w:ascii="Arial" w:hAnsi="Arial" w:cs="Arial"/>
        </w:rPr>
        <w:t>. Mając na uwadze fakt, że zmiana wynika bezpośrednio ze zmiany przepisów</w:t>
      </w:r>
      <w:r w:rsidR="00B35260" w:rsidRPr="007139CA">
        <w:rPr>
          <w:rFonts w:ascii="Arial" w:hAnsi="Arial" w:cs="Arial"/>
        </w:rPr>
        <w:t>,</w:t>
      </w:r>
      <w:r w:rsidRPr="007139CA">
        <w:rPr>
          <w:rFonts w:ascii="Arial" w:hAnsi="Arial" w:cs="Arial"/>
        </w:rPr>
        <w:t xml:space="preserve"> wypowiedzenie umowy może się wiązać z koniecznością zwrotu udzielonych ulg, </w:t>
      </w:r>
      <w:r w:rsidR="00B35260" w:rsidRPr="007139CA">
        <w:rPr>
          <w:rFonts w:ascii="Arial" w:hAnsi="Arial" w:cs="Arial"/>
        </w:rPr>
        <w:t xml:space="preserve">naliczanych </w:t>
      </w:r>
      <w:r w:rsidRPr="007139CA">
        <w:rPr>
          <w:rFonts w:ascii="Arial" w:hAnsi="Arial" w:cs="Arial"/>
        </w:rPr>
        <w:t xml:space="preserve">na zasadach określonych w regulaminie świadczenia usług. Termin do złożenia wypowiedzenia upływa z dniem ich wejścia w życie, tj. do </w:t>
      </w:r>
      <w:r w:rsidR="00B35260" w:rsidRPr="007139CA">
        <w:rPr>
          <w:rFonts w:ascii="Arial" w:hAnsi="Arial" w:cs="Arial"/>
        </w:rPr>
        <w:t xml:space="preserve">dnia </w:t>
      </w:r>
      <w:r w:rsidRPr="007139CA">
        <w:rPr>
          <w:rFonts w:ascii="Arial" w:hAnsi="Arial" w:cs="Arial"/>
        </w:rPr>
        <w:t xml:space="preserve">1 stycznia 2017 roku w </w:t>
      </w:r>
      <w:r w:rsidR="00B35260" w:rsidRPr="007139CA">
        <w:rPr>
          <w:rFonts w:ascii="Arial" w:hAnsi="Arial" w:cs="Arial"/>
        </w:rPr>
        <w:t xml:space="preserve">odniesieniu </w:t>
      </w:r>
      <w:r w:rsidRPr="007139CA">
        <w:rPr>
          <w:rFonts w:ascii="Arial" w:hAnsi="Arial" w:cs="Arial"/>
        </w:rPr>
        <w:t xml:space="preserve">do zmian opisanych w pkt </w:t>
      </w:r>
      <w:r w:rsidR="007139CA">
        <w:rPr>
          <w:rFonts w:ascii="Arial" w:hAnsi="Arial" w:cs="Arial"/>
        </w:rPr>
        <w:t>I-</w:t>
      </w:r>
      <w:r w:rsidR="008C0D74">
        <w:rPr>
          <w:rFonts w:ascii="Arial" w:hAnsi="Arial" w:cs="Arial"/>
        </w:rPr>
        <w:t>VII</w:t>
      </w:r>
      <w:r w:rsidR="00DA4794">
        <w:rPr>
          <w:rFonts w:ascii="Arial" w:hAnsi="Arial" w:cs="Arial"/>
        </w:rPr>
        <w:t xml:space="preserve"> oraz </w:t>
      </w:r>
      <w:r w:rsidR="008C0D74">
        <w:rPr>
          <w:rFonts w:ascii="Arial" w:hAnsi="Arial" w:cs="Arial"/>
        </w:rPr>
        <w:t>I</w:t>
      </w:r>
      <w:r w:rsidR="00DA4794">
        <w:rPr>
          <w:rFonts w:ascii="Arial" w:hAnsi="Arial" w:cs="Arial"/>
        </w:rPr>
        <w:t>X</w:t>
      </w:r>
      <w:r w:rsidR="00A27DCE">
        <w:rPr>
          <w:rFonts w:ascii="Arial" w:hAnsi="Arial" w:cs="Arial"/>
        </w:rPr>
        <w:t xml:space="preserve">, </w:t>
      </w:r>
      <w:r w:rsidR="00B35260" w:rsidRPr="007139CA">
        <w:rPr>
          <w:rFonts w:ascii="Arial" w:hAnsi="Arial" w:cs="Arial"/>
        </w:rPr>
        <w:t>a także do dnia 10 stycznia, w odniesieniu do zmian opisanych w pkt</w:t>
      </w:r>
      <w:r w:rsidR="00B234A2">
        <w:rPr>
          <w:rFonts w:ascii="Arial" w:hAnsi="Arial" w:cs="Arial"/>
        </w:rPr>
        <w:t xml:space="preserve"> VIII i X</w:t>
      </w:r>
      <w:r w:rsidR="008C0D74">
        <w:rPr>
          <w:rFonts w:ascii="Arial" w:hAnsi="Arial" w:cs="Arial"/>
        </w:rPr>
        <w:t>.</w:t>
      </w:r>
    </w:p>
    <w:p w:rsidR="00B03DD6" w:rsidRPr="007139CA" w:rsidRDefault="00B03DD6" w:rsidP="00B234A2">
      <w:pPr>
        <w:spacing w:after="0" w:line="240" w:lineRule="auto"/>
        <w:jc w:val="both"/>
        <w:rPr>
          <w:rFonts w:ascii="Arial" w:hAnsi="Arial" w:cs="Arial"/>
        </w:rPr>
      </w:pPr>
    </w:p>
    <w:sectPr w:rsidR="00B03DD6" w:rsidRPr="007139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462" w:rsidRDefault="00C65462" w:rsidP="001166E3">
      <w:pPr>
        <w:spacing w:after="0" w:line="240" w:lineRule="auto"/>
      </w:pPr>
      <w:r>
        <w:separator/>
      </w:r>
    </w:p>
  </w:endnote>
  <w:endnote w:type="continuationSeparator" w:id="0">
    <w:p w:rsidR="00C65462" w:rsidRDefault="00C65462" w:rsidP="0011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462" w:rsidRDefault="00C65462" w:rsidP="001166E3">
      <w:pPr>
        <w:spacing w:after="0" w:line="240" w:lineRule="auto"/>
      </w:pPr>
      <w:r>
        <w:separator/>
      </w:r>
    </w:p>
  </w:footnote>
  <w:footnote w:type="continuationSeparator" w:id="0">
    <w:p w:rsidR="00C65462" w:rsidRDefault="00C65462" w:rsidP="00116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638"/>
    <w:multiLevelType w:val="hybridMultilevel"/>
    <w:tmpl w:val="67803932"/>
    <w:lvl w:ilvl="0" w:tplc="10E47FDA">
      <w:start w:val="8"/>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276E4FAD"/>
    <w:multiLevelType w:val="hybridMultilevel"/>
    <w:tmpl w:val="ACB06626"/>
    <w:lvl w:ilvl="0" w:tplc="B4B8A8D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12ECC"/>
    <w:multiLevelType w:val="hybridMultilevel"/>
    <w:tmpl w:val="239A4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32A35A94"/>
    <w:multiLevelType w:val="hybridMultilevel"/>
    <w:tmpl w:val="F8F0C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EA64DA"/>
    <w:multiLevelType w:val="hybridMultilevel"/>
    <w:tmpl w:val="872624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DD324B"/>
    <w:multiLevelType w:val="hybridMultilevel"/>
    <w:tmpl w:val="30CC602C"/>
    <w:lvl w:ilvl="0" w:tplc="6EDC4642">
      <w:start w:val="1"/>
      <w:numFmt w:val="decimal"/>
      <w:lvlText w:val="%1."/>
      <w:lvlJc w:val="left"/>
      <w:pPr>
        <w:tabs>
          <w:tab w:val="num" w:pos="680"/>
        </w:tabs>
        <w:ind w:left="680" w:hanging="226"/>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AE113FF"/>
    <w:multiLevelType w:val="hybridMultilevel"/>
    <w:tmpl w:val="C4DE31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A14C4A"/>
    <w:multiLevelType w:val="hybridMultilevel"/>
    <w:tmpl w:val="1D629A92"/>
    <w:lvl w:ilvl="0" w:tplc="0FC0859E">
      <w:start w:val="1"/>
      <w:numFmt w:val="decimal"/>
      <w:lvlText w:val="%1."/>
      <w:lvlJc w:val="left"/>
      <w:pPr>
        <w:tabs>
          <w:tab w:val="num" w:pos="360"/>
        </w:tabs>
        <w:ind w:left="360" w:hanging="360"/>
      </w:pPr>
      <w:rPr>
        <w:rFonts w:hint="default"/>
      </w:rPr>
    </w:lvl>
    <w:lvl w:ilvl="1" w:tplc="8968E94A">
      <w:numFmt w:val="none"/>
      <w:lvlText w:val=""/>
      <w:lvlJc w:val="left"/>
      <w:pPr>
        <w:tabs>
          <w:tab w:val="num" w:pos="360"/>
        </w:tabs>
      </w:pPr>
    </w:lvl>
    <w:lvl w:ilvl="2" w:tplc="48D226AA">
      <w:numFmt w:val="none"/>
      <w:lvlText w:val=""/>
      <w:lvlJc w:val="left"/>
      <w:pPr>
        <w:tabs>
          <w:tab w:val="num" w:pos="360"/>
        </w:tabs>
      </w:pPr>
    </w:lvl>
    <w:lvl w:ilvl="3" w:tplc="B6F0A968">
      <w:numFmt w:val="none"/>
      <w:lvlText w:val=""/>
      <w:lvlJc w:val="left"/>
      <w:pPr>
        <w:tabs>
          <w:tab w:val="num" w:pos="360"/>
        </w:tabs>
      </w:pPr>
    </w:lvl>
    <w:lvl w:ilvl="4" w:tplc="A3DCC1E8">
      <w:numFmt w:val="none"/>
      <w:lvlText w:val=""/>
      <w:lvlJc w:val="left"/>
      <w:pPr>
        <w:tabs>
          <w:tab w:val="num" w:pos="360"/>
        </w:tabs>
      </w:pPr>
    </w:lvl>
    <w:lvl w:ilvl="5" w:tplc="5E5EA4B4">
      <w:numFmt w:val="none"/>
      <w:lvlText w:val=""/>
      <w:lvlJc w:val="left"/>
      <w:pPr>
        <w:tabs>
          <w:tab w:val="num" w:pos="360"/>
        </w:tabs>
      </w:pPr>
    </w:lvl>
    <w:lvl w:ilvl="6" w:tplc="F9E8EECC">
      <w:numFmt w:val="none"/>
      <w:lvlText w:val=""/>
      <w:lvlJc w:val="left"/>
      <w:pPr>
        <w:tabs>
          <w:tab w:val="num" w:pos="360"/>
        </w:tabs>
      </w:pPr>
    </w:lvl>
    <w:lvl w:ilvl="7" w:tplc="B63477B0">
      <w:numFmt w:val="none"/>
      <w:lvlText w:val=""/>
      <w:lvlJc w:val="left"/>
      <w:pPr>
        <w:tabs>
          <w:tab w:val="num" w:pos="360"/>
        </w:tabs>
      </w:pPr>
    </w:lvl>
    <w:lvl w:ilvl="8" w:tplc="220814CA">
      <w:numFmt w:val="none"/>
      <w:lvlText w:val=""/>
      <w:lvlJc w:val="left"/>
      <w:pPr>
        <w:tabs>
          <w:tab w:val="num" w:pos="360"/>
        </w:tabs>
      </w:pPr>
    </w:lvl>
  </w:abstractNum>
  <w:abstractNum w:abstractNumId="8" w15:restartNumberingAfterBreak="0">
    <w:nsid w:val="674E5D1A"/>
    <w:multiLevelType w:val="hybridMultilevel"/>
    <w:tmpl w:val="F1D2CC94"/>
    <w:lvl w:ilvl="0" w:tplc="43628424">
      <w:start w:val="1"/>
      <w:numFmt w:val="upperRoman"/>
      <w:lvlText w:val="%1."/>
      <w:lvlJc w:val="left"/>
      <w:pPr>
        <w:ind w:left="483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4"/>
  </w:num>
  <w:num w:numId="5">
    <w:abstractNumId w:val="6"/>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02"/>
    <w:rsid w:val="0005128D"/>
    <w:rsid w:val="001166E3"/>
    <w:rsid w:val="00137333"/>
    <w:rsid w:val="00143200"/>
    <w:rsid w:val="00164D7D"/>
    <w:rsid w:val="00215562"/>
    <w:rsid w:val="00224D07"/>
    <w:rsid w:val="00250E8D"/>
    <w:rsid w:val="00286BB4"/>
    <w:rsid w:val="0038795A"/>
    <w:rsid w:val="003B7C02"/>
    <w:rsid w:val="003F0890"/>
    <w:rsid w:val="005437E3"/>
    <w:rsid w:val="005605A3"/>
    <w:rsid w:val="00562E42"/>
    <w:rsid w:val="005E2946"/>
    <w:rsid w:val="00630B34"/>
    <w:rsid w:val="006905AB"/>
    <w:rsid w:val="007139CA"/>
    <w:rsid w:val="0072293B"/>
    <w:rsid w:val="00734F71"/>
    <w:rsid w:val="0075395C"/>
    <w:rsid w:val="007A14AB"/>
    <w:rsid w:val="007F1E4D"/>
    <w:rsid w:val="00854619"/>
    <w:rsid w:val="00890B0B"/>
    <w:rsid w:val="008A150E"/>
    <w:rsid w:val="008A2975"/>
    <w:rsid w:val="008C0D74"/>
    <w:rsid w:val="008F77B3"/>
    <w:rsid w:val="00910B91"/>
    <w:rsid w:val="009209F4"/>
    <w:rsid w:val="00944BF2"/>
    <w:rsid w:val="00973E18"/>
    <w:rsid w:val="00987713"/>
    <w:rsid w:val="00A25F65"/>
    <w:rsid w:val="00A27DCE"/>
    <w:rsid w:val="00A90A3C"/>
    <w:rsid w:val="00AC7C62"/>
    <w:rsid w:val="00B000C8"/>
    <w:rsid w:val="00B03DD6"/>
    <w:rsid w:val="00B234A2"/>
    <w:rsid w:val="00B35260"/>
    <w:rsid w:val="00B9377E"/>
    <w:rsid w:val="00BE54F5"/>
    <w:rsid w:val="00C50D2F"/>
    <w:rsid w:val="00C518F3"/>
    <w:rsid w:val="00C65462"/>
    <w:rsid w:val="00C66FB9"/>
    <w:rsid w:val="00C92719"/>
    <w:rsid w:val="00D13251"/>
    <w:rsid w:val="00DA4794"/>
    <w:rsid w:val="00DB4D79"/>
    <w:rsid w:val="00DC2023"/>
    <w:rsid w:val="00EA4B13"/>
    <w:rsid w:val="00EE0EB6"/>
    <w:rsid w:val="00EE4058"/>
    <w:rsid w:val="00F70D88"/>
    <w:rsid w:val="00F8675F"/>
    <w:rsid w:val="00FB0D44"/>
    <w:rsid w:val="00FB7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9CE5"/>
  <w15:chartTrackingRefBased/>
  <w15:docId w15:val="{8795DEA9-6974-4FC6-95E7-F19C5FF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link w:val="Nagwek1Znak"/>
    <w:uiPriority w:val="9"/>
    <w:qFormat/>
    <w:rsid w:val="003B7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B7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3B7C02"/>
    <w:rPr>
      <w:rFonts w:ascii="Times New Roman" w:eastAsia="Times New Roman" w:hAnsi="Times New Roman" w:cs="Times New Roman"/>
      <w:b/>
      <w:bCs/>
      <w:kern w:val="36"/>
      <w:sz w:val="48"/>
      <w:szCs w:val="48"/>
    </w:rPr>
  </w:style>
  <w:style w:type="paragraph" w:styleId="Akapitzlist">
    <w:name w:val="List Paragraph"/>
    <w:basedOn w:val="Normalny"/>
    <w:uiPriority w:val="34"/>
    <w:qFormat/>
    <w:rsid w:val="003B7C02"/>
    <w:pPr>
      <w:ind w:left="720"/>
      <w:contextualSpacing/>
    </w:pPr>
  </w:style>
  <w:style w:type="paragraph" w:styleId="Tekstprzypisukocowego">
    <w:name w:val="endnote text"/>
    <w:basedOn w:val="Normalny"/>
    <w:link w:val="TekstprzypisukocowegoZnak"/>
    <w:semiHidden/>
    <w:rsid w:val="00B9377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B9377E"/>
    <w:rPr>
      <w:rFonts w:ascii="Times New Roman" w:eastAsia="Times New Roman" w:hAnsi="Times New Roman" w:cs="Times New Roman"/>
      <w:sz w:val="20"/>
      <w:szCs w:val="20"/>
    </w:rPr>
  </w:style>
  <w:style w:type="character" w:styleId="Odwoaniedokomentarza">
    <w:name w:val="annotation reference"/>
    <w:semiHidden/>
    <w:rsid w:val="00B9377E"/>
    <w:rPr>
      <w:sz w:val="16"/>
      <w:szCs w:val="16"/>
    </w:rPr>
  </w:style>
  <w:style w:type="paragraph" w:styleId="Tekstkomentarza">
    <w:name w:val="annotation text"/>
    <w:basedOn w:val="Normalny"/>
    <w:link w:val="TekstkomentarzaZnak"/>
    <w:rsid w:val="00B9377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9377E"/>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B937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77E"/>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166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66E3"/>
    <w:rPr>
      <w:sz w:val="20"/>
      <w:szCs w:val="20"/>
    </w:rPr>
  </w:style>
  <w:style w:type="character" w:styleId="Odwoanieprzypisudolnego">
    <w:name w:val="footnote reference"/>
    <w:basedOn w:val="Domylnaczcionkaakapitu"/>
    <w:uiPriority w:val="99"/>
    <w:semiHidden/>
    <w:unhideWhenUsed/>
    <w:rsid w:val="00116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13741">
      <w:bodyDiv w:val="1"/>
      <w:marLeft w:val="0"/>
      <w:marRight w:val="0"/>
      <w:marTop w:val="0"/>
      <w:marBottom w:val="0"/>
      <w:divBdr>
        <w:top w:val="none" w:sz="0" w:space="0" w:color="auto"/>
        <w:left w:val="none" w:sz="0" w:space="0" w:color="auto"/>
        <w:bottom w:val="none" w:sz="0" w:space="0" w:color="auto"/>
        <w:right w:val="none" w:sz="0" w:space="0" w:color="auto"/>
      </w:divBdr>
    </w:div>
    <w:div w:id="15540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68C0-7FD8-483D-8A22-304240F8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2079</Words>
  <Characters>12474</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Woźny KPM</dc:creator>
  <cp:keywords/>
  <dc:description/>
  <cp:lastModifiedBy>Jakub Woźny KPM</cp:lastModifiedBy>
  <cp:revision>3</cp:revision>
  <dcterms:created xsi:type="dcterms:W3CDTF">2016-11-30T15:45:00Z</dcterms:created>
  <dcterms:modified xsi:type="dcterms:W3CDTF">2016-11-30T15:46:00Z</dcterms:modified>
</cp:coreProperties>
</file>